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7FE8" w14:textId="6061DF27" w:rsidR="00B7492F" w:rsidRPr="008B4F12" w:rsidRDefault="00F42E55">
      <w:pPr>
        <w:rPr>
          <w:b/>
          <w:bCs/>
          <w:sz w:val="32"/>
          <w:szCs w:val="32"/>
        </w:rPr>
      </w:pPr>
      <w:r w:rsidRPr="008B4F12">
        <w:rPr>
          <w:b/>
          <w:bCs/>
          <w:sz w:val="32"/>
          <w:szCs w:val="32"/>
        </w:rPr>
        <w:t>Udlejning- og anvisningsaftale – Elevatortale</w:t>
      </w:r>
    </w:p>
    <w:p w14:paraId="71159FC0" w14:textId="0DE7AFC2" w:rsidR="00EF1095" w:rsidRDefault="002852C7" w:rsidP="007E320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F1095" w:rsidRPr="00DD5215">
        <w:rPr>
          <w:sz w:val="28"/>
          <w:szCs w:val="28"/>
        </w:rPr>
        <w:t>Boligorganisationer og kommuner har et fælles ansvar for at skabe attraktive</w:t>
      </w:r>
      <w:r w:rsidR="00787275" w:rsidRPr="002A7FC9">
        <w:rPr>
          <w:sz w:val="28"/>
          <w:szCs w:val="28"/>
        </w:rPr>
        <w:t xml:space="preserve">, </w:t>
      </w:r>
      <w:r w:rsidR="00EF1095" w:rsidRPr="00DD5215">
        <w:rPr>
          <w:sz w:val="28"/>
          <w:szCs w:val="28"/>
        </w:rPr>
        <w:t xml:space="preserve">socialt bæredygtige </w:t>
      </w:r>
      <w:r w:rsidR="00787275" w:rsidRPr="002A7FC9">
        <w:rPr>
          <w:sz w:val="28"/>
          <w:szCs w:val="28"/>
        </w:rPr>
        <w:t xml:space="preserve">og trygge </w:t>
      </w:r>
      <w:r w:rsidR="00EF1095" w:rsidRPr="00DD5215">
        <w:rPr>
          <w:sz w:val="28"/>
          <w:szCs w:val="28"/>
        </w:rPr>
        <w:t xml:space="preserve">boligområder. </w:t>
      </w:r>
      <w:r w:rsidR="002A7FC9">
        <w:rPr>
          <w:sz w:val="28"/>
          <w:szCs w:val="28"/>
        </w:rPr>
        <w:br/>
      </w:r>
      <w:r w:rsidR="00EF1095" w:rsidRPr="00DD5215">
        <w:rPr>
          <w:sz w:val="28"/>
          <w:szCs w:val="28"/>
        </w:rPr>
        <w:t>Udlejnings- og anvisningsaftaler er et stærkt værktøj</w:t>
      </w:r>
      <w:r w:rsidR="00980483">
        <w:rPr>
          <w:sz w:val="28"/>
          <w:szCs w:val="28"/>
        </w:rPr>
        <w:t xml:space="preserve"> til dette. </w:t>
      </w:r>
    </w:p>
    <w:p w14:paraId="292EE230" w14:textId="55C8ACF0" w:rsidR="00EF1095" w:rsidRPr="00D94581" w:rsidRDefault="007E3202" w:rsidP="007E3202">
      <w:pPr>
        <w:rPr>
          <w:sz w:val="28"/>
          <w:szCs w:val="28"/>
        </w:rPr>
      </w:pPr>
      <w:r w:rsidRPr="00F42E55">
        <w:rPr>
          <w:sz w:val="28"/>
          <w:szCs w:val="28"/>
        </w:rPr>
        <w:t xml:space="preserve">Når kommuner og boligorganisationer indgår strategiske aftaler, </w:t>
      </w:r>
      <w:r w:rsidR="00A50D42" w:rsidRPr="00D94581">
        <w:rPr>
          <w:sz w:val="28"/>
          <w:szCs w:val="28"/>
        </w:rPr>
        <w:t>understøtter det</w:t>
      </w:r>
      <w:r w:rsidRPr="00F42E55">
        <w:rPr>
          <w:sz w:val="28"/>
          <w:szCs w:val="28"/>
        </w:rPr>
        <w:t xml:space="preserve"> en blandet by, hvor der er plads til alle – </w:t>
      </w:r>
      <w:r w:rsidR="00A50D42" w:rsidRPr="00D94581">
        <w:rPr>
          <w:sz w:val="28"/>
          <w:szCs w:val="28"/>
        </w:rPr>
        <w:t xml:space="preserve">og </w:t>
      </w:r>
      <w:r w:rsidRPr="00F42E55">
        <w:rPr>
          <w:sz w:val="28"/>
          <w:szCs w:val="28"/>
        </w:rPr>
        <w:t xml:space="preserve">uden at enkelte områder bliver overbelastet af sociale udfordringer. </w:t>
      </w:r>
      <w:r w:rsidR="00E203B0" w:rsidRPr="00D94581">
        <w:rPr>
          <w:sz w:val="28"/>
          <w:szCs w:val="28"/>
        </w:rPr>
        <w:br/>
      </w:r>
      <w:r w:rsidRPr="00F42E55">
        <w:rPr>
          <w:sz w:val="28"/>
          <w:szCs w:val="28"/>
        </w:rPr>
        <w:t xml:space="preserve">Aftalerne giver kommunen en systematisk adgang til boliger til boligsocial anvisning, så </w:t>
      </w:r>
      <w:r w:rsidR="00F75B79" w:rsidRPr="00D94581">
        <w:rPr>
          <w:sz w:val="28"/>
          <w:szCs w:val="28"/>
        </w:rPr>
        <w:t xml:space="preserve">der </w:t>
      </w:r>
      <w:r w:rsidRPr="00F42E55">
        <w:rPr>
          <w:sz w:val="28"/>
          <w:szCs w:val="28"/>
        </w:rPr>
        <w:t>kan reagere</w:t>
      </w:r>
      <w:r w:rsidR="00F75B79" w:rsidRPr="00D94581">
        <w:rPr>
          <w:sz w:val="28"/>
          <w:szCs w:val="28"/>
        </w:rPr>
        <w:t>s</w:t>
      </w:r>
      <w:r w:rsidRPr="00F42E55">
        <w:rPr>
          <w:sz w:val="28"/>
          <w:szCs w:val="28"/>
        </w:rPr>
        <w:t xml:space="preserve"> hurtigt på akutte behov, som fx hjemløshed. Samtidig skaber vi gennemsigtighed og ensartede kriterier for udlejning, og vi fordeler ansvaret mellem boligorganisationerne, så ingen områder skævvrides</w:t>
      </w:r>
      <w:r w:rsidR="005E27F9" w:rsidRPr="00D94581">
        <w:rPr>
          <w:sz w:val="28"/>
          <w:szCs w:val="28"/>
        </w:rPr>
        <w:t>. Endelig er det er store forebyggende fordele</w:t>
      </w:r>
      <w:r w:rsidRPr="00F42E55">
        <w:rPr>
          <w:sz w:val="28"/>
          <w:szCs w:val="28"/>
        </w:rPr>
        <w:t xml:space="preserve">. </w:t>
      </w:r>
    </w:p>
    <w:p w14:paraId="17E8F8BF" w14:textId="74F1129A" w:rsidR="002852C7" w:rsidRPr="00DD5215" w:rsidRDefault="00A50D42" w:rsidP="002852C7">
      <w:pPr>
        <w:rPr>
          <w:sz w:val="28"/>
          <w:szCs w:val="28"/>
        </w:rPr>
      </w:pPr>
      <w:r w:rsidRPr="00D94581">
        <w:rPr>
          <w:sz w:val="28"/>
          <w:szCs w:val="28"/>
        </w:rPr>
        <w:t>En udlejnings- og anvisningsaftale kan laves</w:t>
      </w:r>
      <w:r w:rsidR="001F3E2A" w:rsidRPr="00D94581">
        <w:rPr>
          <w:sz w:val="28"/>
          <w:szCs w:val="28"/>
        </w:rPr>
        <w:t xml:space="preserve"> med kommune og én eller flere boligorganisationer</w:t>
      </w:r>
      <w:r w:rsidR="000F55A0" w:rsidRPr="00D94581">
        <w:rPr>
          <w:sz w:val="28"/>
          <w:szCs w:val="28"/>
        </w:rPr>
        <w:t xml:space="preserve">. Der er en række tydelige fordele ved at </w:t>
      </w:r>
      <w:r w:rsidR="00632C7E" w:rsidRPr="00D94581">
        <w:rPr>
          <w:sz w:val="28"/>
          <w:szCs w:val="28"/>
        </w:rPr>
        <w:t>lave én aftale, som dækker alle almene boliger i en kommune:</w:t>
      </w:r>
      <w:r w:rsidR="00BC331B" w:rsidRPr="00D94581">
        <w:rPr>
          <w:sz w:val="28"/>
          <w:szCs w:val="28"/>
        </w:rPr>
        <w:t xml:space="preserve"> </w:t>
      </w:r>
    </w:p>
    <w:p w14:paraId="5F9B6A30" w14:textId="77777777" w:rsidR="002852C7" w:rsidRPr="00DD5215" w:rsidRDefault="002852C7" w:rsidP="002852C7">
      <w:pPr>
        <w:numPr>
          <w:ilvl w:val="0"/>
          <w:numId w:val="3"/>
        </w:numPr>
        <w:rPr>
          <w:sz w:val="28"/>
          <w:szCs w:val="28"/>
        </w:rPr>
      </w:pPr>
      <w:r w:rsidRPr="00DD5215">
        <w:rPr>
          <w:sz w:val="28"/>
          <w:szCs w:val="28"/>
        </w:rPr>
        <w:t>Strategisk udvikling: Fokus flyttes fra det enkelte afdelingsniveau til helheden, hvilket giver mulighed for langsigtet planlægning.</w:t>
      </w:r>
    </w:p>
    <w:p w14:paraId="6845931E" w14:textId="77777777" w:rsidR="002852C7" w:rsidRPr="00DD5215" w:rsidRDefault="002852C7" w:rsidP="002852C7">
      <w:pPr>
        <w:numPr>
          <w:ilvl w:val="0"/>
          <w:numId w:val="3"/>
        </w:numPr>
        <w:rPr>
          <w:sz w:val="28"/>
          <w:szCs w:val="28"/>
        </w:rPr>
      </w:pPr>
      <w:r w:rsidRPr="00DD5215">
        <w:rPr>
          <w:sz w:val="28"/>
          <w:szCs w:val="28"/>
        </w:rPr>
        <w:t>Fremtidssikring: Aftalen kan tilpasses demografiske ændringer og nye behov, så kommunen står robust i fremtiden.</w:t>
      </w:r>
    </w:p>
    <w:p w14:paraId="5029E460" w14:textId="77777777" w:rsidR="002852C7" w:rsidRPr="00DD5215" w:rsidRDefault="002852C7" w:rsidP="002852C7">
      <w:pPr>
        <w:numPr>
          <w:ilvl w:val="0"/>
          <w:numId w:val="3"/>
        </w:numPr>
        <w:rPr>
          <w:sz w:val="28"/>
          <w:szCs w:val="28"/>
        </w:rPr>
      </w:pPr>
      <w:r w:rsidRPr="00DD5215">
        <w:rPr>
          <w:sz w:val="28"/>
          <w:szCs w:val="28"/>
        </w:rPr>
        <w:t>Social balance: Ansvar og opgaver fordeles retfærdigt, så ingen områder overbelastes.</w:t>
      </w:r>
    </w:p>
    <w:p w14:paraId="722B2817" w14:textId="77777777" w:rsidR="002852C7" w:rsidRPr="00DD5215" w:rsidRDefault="002852C7" w:rsidP="002852C7">
      <w:pPr>
        <w:numPr>
          <w:ilvl w:val="0"/>
          <w:numId w:val="3"/>
        </w:numPr>
        <w:rPr>
          <w:sz w:val="28"/>
          <w:szCs w:val="28"/>
        </w:rPr>
      </w:pPr>
      <w:r w:rsidRPr="00DD5215">
        <w:rPr>
          <w:sz w:val="28"/>
          <w:szCs w:val="28"/>
        </w:rPr>
        <w:t>Effektivitet og gennemsigtighed: Én aftale giver klare rammer og ensartede kriterier, som gør samarbejdet mere smidigt.</w:t>
      </w:r>
    </w:p>
    <w:p w14:paraId="7CADE5CD" w14:textId="77777777" w:rsidR="002852C7" w:rsidRPr="00DD5215" w:rsidRDefault="002852C7" w:rsidP="002852C7">
      <w:pPr>
        <w:numPr>
          <w:ilvl w:val="0"/>
          <w:numId w:val="3"/>
        </w:numPr>
        <w:rPr>
          <w:sz w:val="28"/>
          <w:szCs w:val="28"/>
        </w:rPr>
      </w:pPr>
      <w:r w:rsidRPr="00DD5215">
        <w:rPr>
          <w:sz w:val="28"/>
          <w:szCs w:val="28"/>
        </w:rPr>
        <w:t>Styrket partnerskab: Kommunen og boligorganisationerne arbejder tættere sammen, hvilket skaber bedre løsninger for borgere med særlige behov.</w:t>
      </w:r>
    </w:p>
    <w:p w14:paraId="3655D598" w14:textId="0E9F5127" w:rsidR="002852C7" w:rsidRDefault="002852C7" w:rsidP="002852C7">
      <w:pPr>
        <w:rPr>
          <w:sz w:val="28"/>
          <w:szCs w:val="28"/>
        </w:rPr>
      </w:pPr>
      <w:r w:rsidRPr="00DD5215">
        <w:rPr>
          <w:sz w:val="28"/>
          <w:szCs w:val="28"/>
        </w:rPr>
        <w:t>En kommunedækkende aftale er ikke kun en praktisk løsning – det er en investering i bæredygtige boligområder og en robust byudvikling."</w:t>
      </w:r>
    </w:p>
    <w:p w14:paraId="223C8417" w14:textId="7E06F511" w:rsidR="00BC12E8" w:rsidRPr="00D94581" w:rsidRDefault="00BC12E8" w:rsidP="002852C7">
      <w:pPr>
        <w:rPr>
          <w:sz w:val="28"/>
          <w:szCs w:val="28"/>
        </w:rPr>
      </w:pPr>
      <w:r>
        <w:rPr>
          <w:sz w:val="28"/>
          <w:szCs w:val="28"/>
        </w:rPr>
        <w:t xml:space="preserve">For flere oplysninger og inspiration se </w:t>
      </w:r>
      <w:hyperlink r:id="rId7" w:history="1">
        <w:r w:rsidRPr="00BA2BF5">
          <w:rPr>
            <w:rStyle w:val="Hyperlink"/>
            <w:sz w:val="28"/>
            <w:szCs w:val="28"/>
          </w:rPr>
          <w:t>her</w:t>
        </w:r>
      </w:hyperlink>
    </w:p>
    <w:sectPr w:rsidR="00BC12E8" w:rsidRPr="00D94581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D54F4" w14:textId="77777777" w:rsidR="00F80D7E" w:rsidRDefault="00F80D7E" w:rsidP="00BA2BF5">
      <w:pPr>
        <w:spacing w:after="0" w:line="240" w:lineRule="auto"/>
      </w:pPr>
      <w:r>
        <w:separator/>
      </w:r>
    </w:p>
  </w:endnote>
  <w:endnote w:type="continuationSeparator" w:id="0">
    <w:p w14:paraId="33C29208" w14:textId="77777777" w:rsidR="00F80D7E" w:rsidRDefault="00F80D7E" w:rsidP="00BA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91357" w14:textId="77777777" w:rsidR="00F80D7E" w:rsidRDefault="00F80D7E" w:rsidP="00BA2BF5">
      <w:pPr>
        <w:spacing w:after="0" w:line="240" w:lineRule="auto"/>
      </w:pPr>
      <w:r>
        <w:separator/>
      </w:r>
    </w:p>
  </w:footnote>
  <w:footnote w:type="continuationSeparator" w:id="0">
    <w:p w14:paraId="0D3F6735" w14:textId="77777777" w:rsidR="00F80D7E" w:rsidRDefault="00F80D7E" w:rsidP="00BA2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820F" w14:textId="1CA2D194" w:rsidR="00BA2BF5" w:rsidRDefault="00B7390C" w:rsidP="00B7390C">
    <w:pPr>
      <w:pStyle w:val="Sidehoved"/>
      <w:jc w:val="right"/>
    </w:pPr>
    <w:r>
      <w:t>20.11.25/</w:t>
    </w:r>
    <w:r w:rsidR="00BA2BF5">
      <w:t>GBV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E06"/>
    <w:multiLevelType w:val="multilevel"/>
    <w:tmpl w:val="F6B4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665EAE"/>
    <w:multiLevelType w:val="multilevel"/>
    <w:tmpl w:val="ECDC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F5AD8"/>
    <w:multiLevelType w:val="multilevel"/>
    <w:tmpl w:val="C8AA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771945">
    <w:abstractNumId w:val="1"/>
  </w:num>
  <w:num w:numId="2" w16cid:durableId="2077118826">
    <w:abstractNumId w:val="0"/>
  </w:num>
  <w:num w:numId="3" w16cid:durableId="275404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55"/>
    <w:rsid w:val="000B3578"/>
    <w:rsid w:val="000C4B6F"/>
    <w:rsid w:val="000F1205"/>
    <w:rsid w:val="000F55A0"/>
    <w:rsid w:val="00197AE6"/>
    <w:rsid w:val="001F3E2A"/>
    <w:rsid w:val="00280B66"/>
    <w:rsid w:val="002852C7"/>
    <w:rsid w:val="002A35A9"/>
    <w:rsid w:val="002A7FC9"/>
    <w:rsid w:val="002B387A"/>
    <w:rsid w:val="002E780E"/>
    <w:rsid w:val="003A48A8"/>
    <w:rsid w:val="005548FC"/>
    <w:rsid w:val="005B2EC9"/>
    <w:rsid w:val="005E27F9"/>
    <w:rsid w:val="00632C7E"/>
    <w:rsid w:val="007264D6"/>
    <w:rsid w:val="00787275"/>
    <w:rsid w:val="007E3202"/>
    <w:rsid w:val="008958B8"/>
    <w:rsid w:val="008B4F12"/>
    <w:rsid w:val="008E09F9"/>
    <w:rsid w:val="00963787"/>
    <w:rsid w:val="00974389"/>
    <w:rsid w:val="00980483"/>
    <w:rsid w:val="00A25429"/>
    <w:rsid w:val="00A50D42"/>
    <w:rsid w:val="00B7390C"/>
    <w:rsid w:val="00B7492F"/>
    <w:rsid w:val="00BA2BF5"/>
    <w:rsid w:val="00BC12E8"/>
    <w:rsid w:val="00BC331B"/>
    <w:rsid w:val="00BE0BA2"/>
    <w:rsid w:val="00C13737"/>
    <w:rsid w:val="00D433DB"/>
    <w:rsid w:val="00D94581"/>
    <w:rsid w:val="00DD5215"/>
    <w:rsid w:val="00DF540D"/>
    <w:rsid w:val="00E203B0"/>
    <w:rsid w:val="00EB280D"/>
    <w:rsid w:val="00EB29F0"/>
    <w:rsid w:val="00EE4CB5"/>
    <w:rsid w:val="00EF1095"/>
    <w:rsid w:val="00EF5786"/>
    <w:rsid w:val="00F42E55"/>
    <w:rsid w:val="00F75B79"/>
    <w:rsid w:val="00F80D7E"/>
    <w:rsid w:val="00FB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4D6D"/>
  <w15:chartTrackingRefBased/>
  <w15:docId w15:val="{2587865C-7274-40BB-A352-1C2C3A11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42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42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42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2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2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2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2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2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2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42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42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42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42E5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42E5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42E5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42E5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42E5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42E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42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42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42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42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42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42E5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42E5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42E5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42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42E5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42E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42E5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42E5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5E27F9"/>
    <w:rPr>
      <w:color w:val="96607D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BA2B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A2BF5"/>
  </w:style>
  <w:style w:type="paragraph" w:styleId="Sidefod">
    <w:name w:val="footer"/>
    <w:basedOn w:val="Normal"/>
    <w:link w:val="SidefodTegn"/>
    <w:uiPriority w:val="99"/>
    <w:unhideWhenUsed/>
    <w:rsid w:val="00BA2B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A2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l.dk/viden-kartotek/udlejning-og-anvisningsaftal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1577</Characters>
  <Application>Microsoft Office Word</Application>
  <DocSecurity>0</DocSecurity>
  <Lines>13</Lines>
  <Paragraphs>3</Paragraphs>
  <ScaleCrop>false</ScaleCrop>
  <Company>Boligselskabernes Hus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Brødsgaard Vesti</dc:creator>
  <cp:keywords/>
  <dc:description/>
  <cp:lastModifiedBy>Gitte Brødsgaard Vesti</cp:lastModifiedBy>
  <cp:revision>37</cp:revision>
  <dcterms:created xsi:type="dcterms:W3CDTF">2025-11-20T11:19:00Z</dcterms:created>
  <dcterms:modified xsi:type="dcterms:W3CDTF">2026-01-20T08:12:00Z</dcterms:modified>
</cp:coreProperties>
</file>